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DF6CA5">
        <w:rPr>
          <w:rFonts w:ascii="Century Gothic" w:eastAsia="Times New Roman" w:hAnsi="Century Gothic" w:cs="Verdana"/>
          <w:b/>
          <w:sz w:val="28"/>
          <w:szCs w:val="28"/>
          <w:lang w:val="es-ES" w:eastAsia="es-ES"/>
        </w:rPr>
        <w:t>NOVENA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F6CA5">
        <w:rPr>
          <w:rFonts w:ascii="Century Gothic" w:eastAsia="Times New Roman" w:hAnsi="Century Gothic" w:cs="Verdana"/>
          <w:b/>
          <w:sz w:val="24"/>
          <w:szCs w:val="24"/>
          <w:lang w:val="es-ES" w:eastAsia="es-ES"/>
        </w:rPr>
        <w:t>diecisiete</w:t>
      </w:r>
      <w:r w:rsidR="005F6159">
        <w:rPr>
          <w:rFonts w:ascii="Century Gothic" w:eastAsia="Times New Roman" w:hAnsi="Century Gothic" w:cs="Verdana"/>
          <w:b/>
          <w:sz w:val="24"/>
          <w:szCs w:val="24"/>
          <w:lang w:val="es-ES" w:eastAsia="es-ES"/>
        </w:rPr>
        <w:t xml:space="preserve"> de febrero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6CA5">
        <w:rPr>
          <w:rFonts w:ascii="Century Gothic" w:eastAsia="Times New Roman" w:hAnsi="Century Gothic" w:cs="Verdana"/>
          <w:b/>
          <w:sz w:val="24"/>
          <w:szCs w:val="24"/>
          <w:lang w:val="es-ES" w:eastAsia="es-ES"/>
        </w:rPr>
        <w:t>Décima Novena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85</w:t>
      </w:r>
      <w:r>
        <w:rPr>
          <w:rFonts w:ascii="Century Gothic" w:hAnsi="Century Gothic"/>
          <w:b w:val="0"/>
          <w:sz w:val="24"/>
          <w:szCs w:val="24"/>
        </w:rPr>
        <w:t xml:space="preserve">/2020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Acuerdos del </w:t>
      </w:r>
      <w:r>
        <w:rPr>
          <w:rFonts w:ascii="Century Gothic" w:hAnsi="Century Gothic"/>
          <w:b w:val="0"/>
          <w:sz w:val="24"/>
          <w:szCs w:val="24"/>
        </w:rPr>
        <w:t>Quin</w:t>
      </w:r>
      <w:r>
        <w:rPr>
          <w:rFonts w:ascii="Century Gothic" w:hAnsi="Century Gothic"/>
          <w:b w:val="0"/>
          <w:sz w:val="24"/>
          <w:szCs w:val="24"/>
        </w:rPr>
        <w:t xml:space="preserve">to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315</w:t>
      </w:r>
      <w:r>
        <w:rPr>
          <w:rFonts w:ascii="Century Gothic" w:hAnsi="Century Gothic"/>
          <w:b w:val="0"/>
          <w:sz w:val="24"/>
          <w:szCs w:val="24"/>
        </w:rPr>
        <w:t xml:space="preserve">/2019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w:t>
      </w:r>
      <w:r>
        <w:rPr>
          <w:rFonts w:ascii="Century Gothic" w:hAnsi="Century Gothic"/>
          <w:b w:val="0"/>
          <w:sz w:val="24"/>
          <w:szCs w:val="24"/>
        </w:rPr>
        <w:t>de Apelación 819</w:t>
      </w:r>
      <w:r>
        <w:rPr>
          <w:rFonts w:ascii="Century Gothic" w:hAnsi="Century Gothic"/>
          <w:b w:val="0"/>
          <w:sz w:val="24"/>
          <w:szCs w:val="24"/>
        </w:rPr>
        <w:t xml:space="preserve">/2019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Pr>
          <w:rFonts w:ascii="Century Gothic" w:hAnsi="Century Gothic"/>
          <w:b w:val="0"/>
          <w:sz w:val="24"/>
          <w:szCs w:val="24"/>
        </w:rPr>
        <w:t>315</w:t>
      </w:r>
      <w:r>
        <w:rPr>
          <w:rFonts w:ascii="Century Gothic" w:hAnsi="Century Gothic"/>
          <w:b w:val="0"/>
          <w:sz w:val="24"/>
          <w:szCs w:val="24"/>
        </w:rPr>
        <w:t xml:space="preserve">/2019 del </w:t>
      </w:r>
      <w:r>
        <w:rPr>
          <w:rFonts w:ascii="Century Gothic" w:hAnsi="Century Gothic"/>
          <w:b w:val="0"/>
          <w:sz w:val="24"/>
          <w:szCs w:val="24"/>
        </w:rPr>
        <w:t>Quin</w:t>
      </w:r>
      <w:r>
        <w:rPr>
          <w:rFonts w:ascii="Century Gothic" w:hAnsi="Century Gothic"/>
          <w:b w:val="0"/>
          <w:sz w:val="24"/>
          <w:szCs w:val="24"/>
        </w:rPr>
        <w:t>to Tribunal Colegiado en Materia Administrativa del Tercer Circuito</w:t>
      </w:r>
      <w:r w:rsidR="00230099">
        <w:rPr>
          <w:rFonts w:ascii="Century Gothic" w:hAnsi="Century Gothic"/>
          <w:b w:val="0"/>
          <w:sz w:val="24"/>
          <w:szCs w:val="24"/>
        </w:rPr>
        <w:t>.</w:t>
      </w:r>
    </w:p>
    <w:p w:rsidR="00091068" w:rsidRDefault="00091068"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DF6CA5">
              <w:rPr>
                <w:rFonts w:eastAsia="Calibri"/>
                <w:b/>
                <w:szCs w:val="24"/>
              </w:rPr>
              <w:t>19</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 xml:space="preserve">85/2020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Acuerdos del Quinto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 xml:space="preserve">315/2019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Apelación 819/2019 </w:t>
      </w:r>
      <w:r w:rsidRPr="0052553A">
        <w:rPr>
          <w:rFonts w:ascii="Century Gothic" w:hAnsi="Century Gothic"/>
          <w:b w:val="0"/>
          <w:sz w:val="24"/>
          <w:szCs w:val="24"/>
        </w:rPr>
        <w:t>en cumpl</w:t>
      </w:r>
      <w:r>
        <w:rPr>
          <w:rFonts w:ascii="Century Gothic" w:hAnsi="Century Gothic"/>
          <w:b w:val="0"/>
          <w:sz w:val="24"/>
          <w:szCs w:val="24"/>
        </w:rPr>
        <w:t>imiento al Juicio de Amparo 315/2019 del Quinto Tribunal Colegiado en Materia Administrativa del Tercer Circuito.</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Pr>
                <w:rFonts w:eastAsia="Calibri"/>
                <w:b/>
                <w:szCs w:val="24"/>
              </w:rPr>
              <w:t>02</w:t>
            </w:r>
            <w:r>
              <w:rPr>
                <w:rFonts w:eastAsia="Calibri"/>
                <w:b/>
                <w:szCs w:val="24"/>
              </w:rPr>
              <w:t>/</w:t>
            </w:r>
            <w:r>
              <w:rPr>
                <w:rFonts w:eastAsia="Calibri"/>
                <w:b/>
                <w:szCs w:val="24"/>
              </w:rPr>
              <w:t>19</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del expediente de </w:t>
            </w:r>
            <w:r>
              <w:rPr>
                <w:rFonts w:eastAsia="Calibri"/>
                <w:szCs w:val="24"/>
              </w:rPr>
              <w:t>Apelación 819</w:t>
            </w:r>
            <w:r>
              <w:rPr>
                <w:rFonts w:eastAsia="Calibri"/>
                <w:szCs w:val="24"/>
              </w:rPr>
              <w:t xml:space="preserve">/2019. </w:t>
            </w:r>
          </w:p>
        </w:tc>
      </w:tr>
    </w:tbl>
    <w:p w:rsidR="00DF6CA5" w:rsidRDefault="00DF6CA5"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355599">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1B1C0C">
        <w:rPr>
          <w:b/>
          <w:szCs w:val="24"/>
        </w:rPr>
        <w:t>diecisiete</w:t>
      </w:r>
      <w:r w:rsidR="007D3D57">
        <w:rPr>
          <w:b/>
          <w:szCs w:val="24"/>
        </w:rPr>
        <w:t xml:space="preserve"> de febrero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1B1C0C">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CB6111" w:rsidRPr="00B44F95" w:rsidRDefault="00CB6111" w:rsidP="00B44F95">
      <w:pPr>
        <w:tabs>
          <w:tab w:val="left" w:pos="6500"/>
        </w:tabs>
        <w:rPr>
          <w:rFonts w:ascii="Century Gothic" w:eastAsia="Times New Roman" w:hAnsi="Century Gothic" w:cs="Times New Roman"/>
          <w:sz w:val="24"/>
          <w:szCs w:val="24"/>
          <w:lang w:val="es-ES" w:eastAsia="es-ES"/>
        </w:rPr>
      </w:pP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B1C0C">
      <w:rPr>
        <w:rStyle w:val="Nmerodepgina"/>
        <w:noProof/>
      </w:rPr>
      <w:t>3</w:t>
    </w:r>
    <w:r>
      <w:rPr>
        <w:rStyle w:val="Nmerodepgina"/>
      </w:rPr>
      <w:fldChar w:fldCharType="end"/>
    </w:r>
    <w:r w:rsidR="00355599">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1B1C0C">
      <w:rPr>
        <w:rStyle w:val="Nmerodepgina"/>
        <w:rFonts w:ascii="Century Gothic" w:hAnsi="Century Gothic"/>
        <w:smallCaps/>
      </w:rPr>
      <w:t xml:space="preserve">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1B1C0C"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7F1814">
      <w:rPr>
        <w:rStyle w:val="Nmerodepgina"/>
        <w:rFonts w:ascii="Century Gothic" w:hAnsi="Century Gothic"/>
        <w:smallCaps/>
      </w:rPr>
      <w:t xml:space="preserve"> DE FEBRERO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D0D1-01E0-4CA2-87A3-2345EFC0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2020-02-25T19:18:00Z</dcterms:created>
  <dcterms:modified xsi:type="dcterms:W3CDTF">2020-02-25T19:18:00Z</dcterms:modified>
</cp:coreProperties>
</file>